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080937.xml.htm"/>
      <w:bookmarkStart w:id="1" w:name="ksform409152026_080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Vousden Karen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FAETH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TILLERY STREET #12 #1010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Faeth Therapeutics, Inc.</w:t>
              </w:r>
            </w:hyperlink>
            <w:r>
              <w:rPr/>
              <w:t xml:space="preserve"> [ </w:t>
            </w:r>
            <w:r>
              <w:rPr>
                <w:rFonts w:ascii="Times;serif" w:hAnsi="Times;serif"/>
                <w:color w:val="0000FF"/>
                <w:sz w:val="24"/>
                <w:shd w:fill="FFFFFF" w:val="clear"/>
              </w:rPr>
              <w:t>FTH</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37.44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and become exercisable in 36 equal monthly installments over a three year period such that the option is fully vested on the third anniversary of the date of grant, or September 11, 2029, subject to the Reporting Person's continuous service with the Issuer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Josiah Craver,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3884" TargetMode="External"/><Relationship Id="rId5" Type="http://schemas.openxmlformats.org/officeDocument/2006/relationships/hyperlink" Target="http://www.sec.gov/cgi-bin/browse-edgar?action=getcompany&amp;CIK=00018298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3395</Characters>
  <CharactersWithSpaces>3954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