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659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6592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STEPHENSON BRIAN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FAETH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701 TILLERY STREET #12 #1010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Faeth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AUSTIN</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78702</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ind w:right="1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831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23.34</w:t>
            </w:r>
            <w:r>
              <w:rPr>
                <w:rFonts w:ascii="Times New Roman" w:cs="Times New Roman" w:eastAsia="Times New Roman" w:hAnsi="Times New Roman"/>
                <w:sz w:val="22"/>
                <w:szCs w:val="22"/>
                <w:color w:val="008000"/>
                <w:w w:val="95"/>
                <w:vertAlign w:val="superscript"/>
              </w:rPr>
              <w:t>(1)</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33,885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rPr>
              <w:t>1,910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22.95</w:t>
            </w:r>
            <w:r>
              <w:rPr>
                <w:rFonts w:ascii="Times New Roman" w:cs="Times New Roman" w:eastAsia="Times New Roman" w:hAnsi="Times New Roman"/>
                <w:sz w:val="22"/>
                <w:szCs w:val="22"/>
                <w:color w:val="008000"/>
                <w:w w:val="95"/>
                <w:vertAlign w:val="superscript"/>
              </w:rPr>
              <w:t>(3)</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35,795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rPr>
              <w:t>1,638</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23.88</w:t>
            </w:r>
            <w:r>
              <w:rPr>
                <w:rFonts w:ascii="Times New Roman" w:cs="Times New Roman" w:eastAsia="Times New Roman" w:hAnsi="Times New Roman"/>
                <w:sz w:val="22"/>
                <w:szCs w:val="22"/>
                <w:color w:val="008000"/>
                <w:w w:val="95"/>
                <w:vertAlign w:val="superscript"/>
              </w:rPr>
              <w:t>(4)</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37,433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rPr>
              <w:t>4,255</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24.98</w:t>
            </w:r>
            <w:r>
              <w:rPr>
                <w:rFonts w:ascii="Times New Roman" w:cs="Times New Roman" w:eastAsia="Times New Roman" w:hAnsi="Times New Roman"/>
                <w:sz w:val="22"/>
                <w:szCs w:val="22"/>
                <w:color w:val="008000"/>
                <w:w w:val="95"/>
                <w:vertAlign w:val="superscript"/>
              </w:rPr>
              <w:t>(5)</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41,688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rPr>
              <w:t>4,400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23.4</w:t>
            </w:r>
            <w:r>
              <w:rPr>
                <w:rFonts w:ascii="Times New Roman" w:cs="Times New Roman" w:eastAsia="Times New Roman" w:hAnsi="Times New Roman"/>
                <w:sz w:val="22"/>
                <w:szCs w:val="22"/>
                <w:color w:val="008000"/>
                <w:w w:val="92"/>
                <w:vertAlign w:val="superscript"/>
              </w:rPr>
              <w:t>(6)</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46,088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24.22</w:t>
            </w:r>
            <w:r>
              <w:rPr>
                <w:rFonts w:ascii="Times New Roman" w:cs="Times New Roman" w:eastAsia="Times New Roman" w:hAnsi="Times New Roman"/>
                <w:sz w:val="22"/>
                <w:szCs w:val="22"/>
                <w:color w:val="008000"/>
                <w:w w:val="95"/>
                <w:vertAlign w:val="superscript"/>
              </w:rPr>
              <w:t>(7)</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46,688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$23.20 to $23.49, inclusive.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Brian Stephenson Revocable Trust (the "Trust"), of which the Reporting Person is the sole trustee and has sole voting and investment power over all securities owned by the Trust. The Reporting Person disclaims beneficial ownership of the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$22.45 to $23.28, inclusive.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$23.50 to $24.40, inclusive.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$24.59 to $25.00, inclusive.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$23.14 to $23.94, inclusive. The Reporting Person undertakes to provide to the Issuer, any security holder of the Issuer, or the staff of the Securities and Exchange Commission, upon request, full information regarding the number of shares purchased at each separate price within the range.</w:t>
      </w:r>
    </w:p>
    <w:p>
      <w:pPr>
        <w:sectPr>
          <w:pgSz w:w="11900" w:h="16838" w:orient="portrait"/>
          <w:cols w:equalWidth="0" w:num="1">
            <w:col w:w="11080"/>
          </w:cols>
          <w:pgMar w:left="460" w:top="219" w:right="359" w:bottom="0" w:gutter="0" w:footer="0" w:header="0"/>
          <w:type w:val="continuous"/>
        </w:sectPr>
      </w:pPr>
    </w:p>
    <w:bookmarkStart w:id="1" w:name="page2"/>
    <w:bookmarkEnd w:id="1"/>
    <w:p>
      <w:pPr>
        <w:ind w:firstLine="7"/>
        <w:spacing w:after="0" w:line="249"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$24.14 to $24.29, inclusive. The Reporting Person undertakes to provide to the Issuer, any security holder of the Issuer, or the staff of the Securities and Exchange Commission, upon request, full information regarding the number of shares purchased at each separate price within the range.</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Josiah Craver, Attorney-in- </w:t>
      </w:r>
      <w:r>
        <w:rPr>
          <w:rFonts w:ascii="Times New Roman" w:cs="Times New Roman" w:eastAsia="Times New Roman" w:hAnsi="Times New Roman"/>
          <w:sz w:val="33"/>
          <w:szCs w:val="33"/>
          <w:color w:val="0000FF"/>
          <w:vertAlign w:val="subscript"/>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0030"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2026-07-01T19:10:51Z</dcterms:created>
  <dcterms:modified xsi:type="dcterms:W3CDTF">2026-07-01T19:10:51Z</dcterms:modified>
</cp:coreProperties>
</file>